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3442704D" w14:textId="77777777" w:rsidTr="0047741D">
        <w:trPr>
          <w:gridAfter w:val="1"/>
          <w:wAfter w:w="2835" w:type="dxa"/>
          <w:cantSplit/>
          <w:trHeight w:val="569"/>
        </w:trPr>
        <w:tc>
          <w:tcPr>
            <w:tcW w:w="4786" w:type="dxa"/>
            <w:shd w:val="clear" w:color="auto" w:fill="BFBFBF"/>
            <w:vAlign w:val="center"/>
          </w:tcPr>
          <w:p w14:paraId="3442704B" w14:textId="77777777" w:rsidR="002F5C5E" w:rsidRPr="009E2B84" w:rsidRDefault="00663069"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44270C9" wp14:editId="344270CA">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3442704C" w14:textId="77777777" w:rsidR="002F5C5E" w:rsidRPr="009E2B84" w:rsidRDefault="002F5C5E" w:rsidP="00AC4A99">
            <w:pPr>
              <w:jc w:val="center"/>
              <w:rPr>
                <w:b/>
              </w:rPr>
            </w:pPr>
            <w:r w:rsidRPr="009E2B84">
              <w:rPr>
                <w:b/>
              </w:rPr>
              <w:t>ON</w:t>
            </w:r>
          </w:p>
        </w:tc>
      </w:tr>
      <w:tr w:rsidR="002F5C5E" w:rsidRPr="009E2B84" w14:paraId="34427050" w14:textId="77777777" w:rsidTr="0047741D">
        <w:trPr>
          <w:gridAfter w:val="1"/>
          <w:wAfter w:w="2835" w:type="dxa"/>
          <w:cantSplit/>
          <w:trHeight w:val="654"/>
        </w:trPr>
        <w:tc>
          <w:tcPr>
            <w:tcW w:w="4786" w:type="dxa"/>
            <w:tcBorders>
              <w:bottom w:val="nil"/>
            </w:tcBorders>
            <w:vAlign w:val="center"/>
          </w:tcPr>
          <w:p w14:paraId="3442704E" w14:textId="77777777" w:rsidR="002F5C5E" w:rsidRPr="009E2B84" w:rsidRDefault="00663069" w:rsidP="00AC4A99">
            <w:pPr>
              <w:jc w:val="center"/>
              <w:rPr>
                <w:b/>
                <w:sz w:val="24"/>
                <w:szCs w:val="24"/>
              </w:rPr>
            </w:pPr>
            <w:r>
              <w:rPr>
                <w:b/>
                <w:sz w:val="24"/>
                <w:szCs w:val="24"/>
              </w:rPr>
              <w:t xml:space="preserve">     Governance </w:t>
            </w:r>
            <w:r w:rsidR="00EB2D32">
              <w:rPr>
                <w:b/>
                <w:sz w:val="24"/>
                <w:szCs w:val="24"/>
              </w:rPr>
              <w:t>Committee</w:t>
            </w:r>
          </w:p>
        </w:tc>
        <w:tc>
          <w:tcPr>
            <w:tcW w:w="2268" w:type="dxa"/>
            <w:gridSpan w:val="2"/>
            <w:tcBorders>
              <w:bottom w:val="nil"/>
            </w:tcBorders>
            <w:vAlign w:val="center"/>
          </w:tcPr>
          <w:p w14:paraId="3442704F" w14:textId="77777777" w:rsidR="002F5C5E" w:rsidRPr="00663069" w:rsidRDefault="00663069" w:rsidP="0047741D">
            <w:pPr>
              <w:jc w:val="center"/>
              <w:rPr>
                <w:b/>
              </w:rPr>
            </w:pPr>
            <w:r w:rsidRPr="00663069">
              <w:rPr>
                <w:b/>
              </w:rPr>
              <w:t>29 November 2017</w:t>
            </w:r>
          </w:p>
        </w:tc>
      </w:tr>
      <w:tr w:rsidR="002F5C5E" w:rsidRPr="009E2B84" w14:paraId="34427052" w14:textId="77777777" w:rsidTr="0047741D">
        <w:trPr>
          <w:gridAfter w:val="1"/>
          <w:wAfter w:w="2835" w:type="dxa"/>
          <w:cantSplit/>
          <w:trHeight w:val="560"/>
        </w:trPr>
        <w:tc>
          <w:tcPr>
            <w:tcW w:w="7054" w:type="dxa"/>
            <w:gridSpan w:val="3"/>
            <w:tcBorders>
              <w:left w:val="nil"/>
              <w:right w:val="nil"/>
            </w:tcBorders>
          </w:tcPr>
          <w:p w14:paraId="34427051" w14:textId="77777777" w:rsidR="002F5C5E" w:rsidRPr="009E2B84" w:rsidRDefault="002F5C5E" w:rsidP="003902A2">
            <w:pPr>
              <w:jc w:val="right"/>
              <w:rPr>
                <w:sz w:val="8"/>
              </w:rPr>
            </w:pPr>
          </w:p>
        </w:tc>
      </w:tr>
      <w:tr w:rsidR="0047741D" w:rsidRPr="009E2B84" w14:paraId="34427055" w14:textId="77777777" w:rsidTr="0047741D">
        <w:trPr>
          <w:cantSplit/>
        </w:trPr>
        <w:tc>
          <w:tcPr>
            <w:tcW w:w="6912" w:type="dxa"/>
            <w:gridSpan w:val="2"/>
            <w:shd w:val="clear" w:color="auto" w:fill="BFBFBF"/>
            <w:vAlign w:val="center"/>
          </w:tcPr>
          <w:p w14:paraId="34427053"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4427054" w14:textId="77777777" w:rsidR="0047741D" w:rsidRPr="009E2B84" w:rsidRDefault="0047741D" w:rsidP="00E2196F">
            <w:pPr>
              <w:jc w:val="center"/>
              <w:rPr>
                <w:b/>
              </w:rPr>
            </w:pPr>
            <w:r>
              <w:rPr>
                <w:b/>
              </w:rPr>
              <w:t>REPORT OF</w:t>
            </w:r>
          </w:p>
        </w:tc>
      </w:tr>
      <w:tr w:rsidR="0047741D" w:rsidRPr="009E2B84" w14:paraId="34427059" w14:textId="77777777" w:rsidTr="0047741D">
        <w:trPr>
          <w:cantSplit/>
          <w:trHeight w:val="667"/>
        </w:trPr>
        <w:tc>
          <w:tcPr>
            <w:tcW w:w="6912" w:type="dxa"/>
            <w:gridSpan w:val="2"/>
            <w:vAlign w:val="center"/>
          </w:tcPr>
          <w:p w14:paraId="34427056" w14:textId="77777777" w:rsidR="0047741D" w:rsidRPr="009E2B84" w:rsidRDefault="0047741D" w:rsidP="00E2196F">
            <w:pPr>
              <w:rPr>
                <w:b/>
              </w:rPr>
            </w:pPr>
          </w:p>
          <w:p w14:paraId="34427057" w14:textId="77777777" w:rsidR="009A48CF" w:rsidRPr="009E2B84" w:rsidRDefault="00663069" w:rsidP="009A48CF">
            <w:pPr>
              <w:rPr>
                <w:b/>
              </w:rPr>
            </w:pPr>
            <w:r>
              <w:rPr>
                <w:b/>
              </w:rPr>
              <w:t xml:space="preserve">Closure of Annual Accounts </w:t>
            </w:r>
            <w:r w:rsidR="00862505">
              <w:rPr>
                <w:b/>
              </w:rPr>
              <w:t>2017/18</w:t>
            </w:r>
            <w:r>
              <w:rPr>
                <w:b/>
              </w:rPr>
              <w:t xml:space="preserve"> Timetable</w:t>
            </w:r>
            <w:r w:rsidR="009A48CF">
              <w:rPr>
                <w:b/>
              </w:rPr>
              <w:t xml:space="preserve"> </w:t>
            </w:r>
          </w:p>
        </w:tc>
        <w:tc>
          <w:tcPr>
            <w:tcW w:w="2977" w:type="dxa"/>
            <w:gridSpan w:val="2"/>
            <w:vAlign w:val="center"/>
          </w:tcPr>
          <w:p w14:paraId="34427058" w14:textId="77777777" w:rsidR="0047741D" w:rsidRPr="00663069" w:rsidRDefault="00663069" w:rsidP="00E2196F">
            <w:pPr>
              <w:jc w:val="center"/>
              <w:rPr>
                <w:b/>
              </w:rPr>
            </w:pPr>
            <w:r w:rsidRPr="00663069">
              <w:rPr>
                <w:b/>
              </w:rPr>
              <w:t>Inter</w:t>
            </w:r>
            <w:r w:rsidR="00993B31">
              <w:rPr>
                <w:b/>
              </w:rPr>
              <w:t>im Corporate Governance Manager</w:t>
            </w:r>
          </w:p>
        </w:tc>
      </w:tr>
    </w:tbl>
    <w:p w14:paraId="3442705A" w14:textId="77777777" w:rsidR="002F5C5E" w:rsidRPr="009E2B84" w:rsidRDefault="002F5C5E" w:rsidP="002F5C5E"/>
    <w:p w14:paraId="3442705B"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862505" w14:paraId="34427060" w14:textId="77777777" w:rsidTr="00E2196F">
        <w:tc>
          <w:tcPr>
            <w:tcW w:w="6652" w:type="dxa"/>
            <w:shd w:val="clear" w:color="auto" w:fill="auto"/>
          </w:tcPr>
          <w:p w14:paraId="3442705C" w14:textId="77777777" w:rsidR="0047741D" w:rsidRPr="00862505" w:rsidRDefault="0047741D" w:rsidP="00E2196F">
            <w:pPr>
              <w:rPr>
                <w:sz w:val="24"/>
                <w:szCs w:val="24"/>
              </w:rPr>
            </w:pPr>
          </w:p>
          <w:p w14:paraId="3442705D" w14:textId="77777777" w:rsidR="0047741D" w:rsidRPr="00862505" w:rsidRDefault="0047741D" w:rsidP="00E2196F">
            <w:pPr>
              <w:rPr>
                <w:sz w:val="24"/>
                <w:szCs w:val="24"/>
              </w:rPr>
            </w:pPr>
            <w:r w:rsidRPr="00862505">
              <w:rPr>
                <w:sz w:val="24"/>
                <w:szCs w:val="24"/>
              </w:rPr>
              <w:t>Is this report confidential?</w:t>
            </w:r>
          </w:p>
        </w:tc>
        <w:tc>
          <w:tcPr>
            <w:tcW w:w="3266" w:type="dxa"/>
            <w:shd w:val="clear" w:color="auto" w:fill="auto"/>
          </w:tcPr>
          <w:p w14:paraId="3442705E" w14:textId="77777777" w:rsidR="0047741D" w:rsidRPr="00862505" w:rsidRDefault="0047741D" w:rsidP="00663069">
            <w:pPr>
              <w:rPr>
                <w:b/>
                <w:sz w:val="24"/>
                <w:szCs w:val="24"/>
              </w:rPr>
            </w:pPr>
          </w:p>
          <w:p w14:paraId="3442705F" w14:textId="77777777" w:rsidR="00663069" w:rsidRPr="00862505" w:rsidRDefault="00663069" w:rsidP="00663069">
            <w:pPr>
              <w:rPr>
                <w:sz w:val="24"/>
                <w:szCs w:val="24"/>
              </w:rPr>
            </w:pPr>
            <w:r w:rsidRPr="00862505">
              <w:rPr>
                <w:b/>
                <w:sz w:val="24"/>
                <w:szCs w:val="24"/>
              </w:rPr>
              <w:t>No</w:t>
            </w:r>
          </w:p>
        </w:tc>
      </w:tr>
    </w:tbl>
    <w:p w14:paraId="34427061" w14:textId="77777777" w:rsidR="0047741D" w:rsidRPr="00862505" w:rsidRDefault="0047741D" w:rsidP="002F5C5E">
      <w:pPr>
        <w:rPr>
          <w:sz w:val="24"/>
          <w:szCs w:val="24"/>
        </w:rPr>
      </w:pPr>
    </w:p>
    <w:p w14:paraId="34427062" w14:textId="77777777" w:rsidR="00EB2D32" w:rsidRPr="00862505" w:rsidRDefault="00EB2D32" w:rsidP="002F5C5E">
      <w:pPr>
        <w:rPr>
          <w:sz w:val="24"/>
          <w:szCs w:val="24"/>
        </w:rPr>
      </w:pPr>
    </w:p>
    <w:p w14:paraId="34427063" w14:textId="77777777" w:rsidR="002F5C5E" w:rsidRPr="00862505" w:rsidRDefault="002F5C5E" w:rsidP="002F5C5E">
      <w:pPr>
        <w:keepNext/>
        <w:numPr>
          <w:ilvl w:val="0"/>
          <w:numId w:val="8"/>
        </w:numPr>
        <w:outlineLvl w:val="0"/>
        <w:rPr>
          <w:b/>
          <w:sz w:val="24"/>
          <w:szCs w:val="24"/>
        </w:rPr>
      </w:pPr>
      <w:r w:rsidRPr="00862505">
        <w:rPr>
          <w:b/>
          <w:sz w:val="24"/>
          <w:szCs w:val="24"/>
        </w:rPr>
        <w:t xml:space="preserve">PURPOSE OF THE REPORT  </w:t>
      </w:r>
    </w:p>
    <w:p w14:paraId="34427064" w14:textId="77777777" w:rsidR="0007387D" w:rsidRPr="00862505" w:rsidRDefault="0007387D" w:rsidP="0007387D">
      <w:pPr>
        <w:keepNext/>
        <w:ind w:left="360"/>
        <w:outlineLvl w:val="0"/>
        <w:rPr>
          <w:b/>
          <w:sz w:val="24"/>
          <w:szCs w:val="24"/>
        </w:rPr>
      </w:pPr>
    </w:p>
    <w:p w14:paraId="34427065" w14:textId="77777777" w:rsidR="002F5C5E" w:rsidRPr="00862505" w:rsidRDefault="0007387D" w:rsidP="0007387D">
      <w:pPr>
        <w:keepNext/>
        <w:ind w:left="360"/>
        <w:outlineLvl w:val="0"/>
        <w:rPr>
          <w:i/>
          <w:color w:val="2E74B5"/>
          <w:sz w:val="24"/>
          <w:szCs w:val="24"/>
        </w:rPr>
      </w:pPr>
      <w:r w:rsidRPr="00862505">
        <w:rPr>
          <w:color w:val="000000"/>
          <w:sz w:val="24"/>
          <w:szCs w:val="24"/>
        </w:rPr>
        <w:t xml:space="preserve">To advise Members that the deadline for the closure of accounts </w:t>
      </w:r>
      <w:r w:rsidR="00563CE0">
        <w:rPr>
          <w:color w:val="000000"/>
          <w:sz w:val="24"/>
          <w:szCs w:val="24"/>
        </w:rPr>
        <w:t xml:space="preserve">for 2017/18 will be the end of May in 2018 </w:t>
      </w:r>
      <w:r w:rsidRPr="00862505">
        <w:rPr>
          <w:color w:val="000000"/>
          <w:sz w:val="24"/>
          <w:szCs w:val="24"/>
        </w:rPr>
        <w:t xml:space="preserve">and </w:t>
      </w:r>
      <w:r w:rsidR="00563CE0">
        <w:rPr>
          <w:color w:val="000000"/>
          <w:sz w:val="24"/>
          <w:szCs w:val="24"/>
        </w:rPr>
        <w:t xml:space="preserve">that </w:t>
      </w:r>
      <w:r w:rsidRPr="00862505">
        <w:rPr>
          <w:color w:val="000000"/>
          <w:sz w:val="24"/>
          <w:szCs w:val="24"/>
        </w:rPr>
        <w:t>this had been brought forward in line with statutory government requirements as a way to provide clarity on the finance position of all the local authorities.</w:t>
      </w:r>
    </w:p>
    <w:p w14:paraId="34427066" w14:textId="77777777" w:rsidR="002F5C5E" w:rsidRPr="00862505" w:rsidRDefault="002F5C5E" w:rsidP="002F5C5E">
      <w:pPr>
        <w:rPr>
          <w:sz w:val="24"/>
          <w:szCs w:val="24"/>
        </w:rPr>
      </w:pPr>
    </w:p>
    <w:p w14:paraId="34427067" w14:textId="77777777" w:rsidR="002F5C5E" w:rsidRPr="00862505" w:rsidRDefault="002F5C5E" w:rsidP="002F5C5E">
      <w:pPr>
        <w:keepNext/>
        <w:numPr>
          <w:ilvl w:val="0"/>
          <w:numId w:val="8"/>
        </w:numPr>
        <w:outlineLvl w:val="0"/>
        <w:rPr>
          <w:b/>
          <w:sz w:val="24"/>
          <w:szCs w:val="24"/>
        </w:rPr>
      </w:pPr>
      <w:r w:rsidRPr="00862505">
        <w:rPr>
          <w:b/>
          <w:sz w:val="24"/>
          <w:szCs w:val="24"/>
        </w:rPr>
        <w:t>RECOMMENDATIONS</w:t>
      </w:r>
    </w:p>
    <w:p w14:paraId="34427068" w14:textId="77777777" w:rsidR="002F5C5E" w:rsidRPr="00862505" w:rsidRDefault="002F5C5E" w:rsidP="0007387D">
      <w:pPr>
        <w:ind w:left="360"/>
        <w:rPr>
          <w:color w:val="2E74B5"/>
          <w:sz w:val="24"/>
          <w:szCs w:val="24"/>
        </w:rPr>
      </w:pPr>
    </w:p>
    <w:p w14:paraId="34427069" w14:textId="77777777" w:rsidR="002F5C5E" w:rsidRPr="00862505" w:rsidRDefault="0007387D" w:rsidP="00CB632F">
      <w:pPr>
        <w:ind w:left="360"/>
        <w:rPr>
          <w:sz w:val="24"/>
          <w:szCs w:val="24"/>
        </w:rPr>
      </w:pPr>
      <w:r w:rsidRPr="00862505">
        <w:rPr>
          <w:sz w:val="24"/>
          <w:szCs w:val="24"/>
        </w:rPr>
        <w:t>The Committee is requested to note that meetings of the Committ</w:t>
      </w:r>
      <w:r w:rsidR="00563CE0">
        <w:rPr>
          <w:sz w:val="24"/>
          <w:szCs w:val="24"/>
        </w:rPr>
        <w:t>ee will be need to be held on 24 May 2018 and 26</w:t>
      </w:r>
      <w:r w:rsidRPr="00862505">
        <w:rPr>
          <w:sz w:val="24"/>
          <w:szCs w:val="24"/>
        </w:rPr>
        <w:t xml:space="preserve"> J</w:t>
      </w:r>
      <w:r w:rsidR="00CB632F" w:rsidRPr="00862505">
        <w:rPr>
          <w:sz w:val="24"/>
          <w:szCs w:val="24"/>
        </w:rPr>
        <w:t>uly 2018 to meet the deadlines for the Closure of the Annual Accounts 2017/18</w:t>
      </w:r>
      <w:r w:rsidR="00563CE0">
        <w:rPr>
          <w:sz w:val="24"/>
          <w:szCs w:val="24"/>
        </w:rPr>
        <w:t>.</w:t>
      </w:r>
    </w:p>
    <w:p w14:paraId="3442706A" w14:textId="77777777" w:rsidR="002F5C5E" w:rsidRPr="00862505" w:rsidRDefault="002F5C5E" w:rsidP="002F5C5E">
      <w:pPr>
        <w:rPr>
          <w:sz w:val="24"/>
          <w:szCs w:val="24"/>
        </w:rPr>
      </w:pPr>
    </w:p>
    <w:p w14:paraId="3442706B" w14:textId="77777777" w:rsidR="002F5C5E" w:rsidRPr="00862505" w:rsidRDefault="00CB632F" w:rsidP="002F5C5E">
      <w:pPr>
        <w:keepNext/>
        <w:outlineLvl w:val="0"/>
        <w:rPr>
          <w:b/>
          <w:sz w:val="24"/>
          <w:szCs w:val="24"/>
        </w:rPr>
      </w:pPr>
      <w:r w:rsidRPr="00862505">
        <w:rPr>
          <w:b/>
          <w:sz w:val="24"/>
          <w:szCs w:val="24"/>
        </w:rPr>
        <w:t>3</w:t>
      </w:r>
      <w:r w:rsidR="002F5C5E" w:rsidRPr="00862505">
        <w:rPr>
          <w:b/>
          <w:sz w:val="24"/>
          <w:szCs w:val="24"/>
        </w:rPr>
        <w:t>.   CORPORATE PRIORITIES</w:t>
      </w:r>
    </w:p>
    <w:p w14:paraId="3442706C" w14:textId="77777777" w:rsidR="002F5C5E" w:rsidRPr="00862505" w:rsidRDefault="002F5C5E" w:rsidP="002F5C5E">
      <w:pPr>
        <w:keepNext/>
        <w:ind w:left="360"/>
        <w:outlineLvl w:val="0"/>
        <w:rPr>
          <w:b/>
          <w:sz w:val="24"/>
          <w:szCs w:val="24"/>
        </w:rPr>
      </w:pPr>
      <w:r w:rsidRPr="00862505">
        <w:rPr>
          <w:sz w:val="24"/>
          <w:szCs w:val="24"/>
        </w:rPr>
        <w:t>The report relates to the following corporate priorities</w:t>
      </w:r>
      <w:r w:rsidRPr="00862505">
        <w:rPr>
          <w:b/>
          <w:sz w:val="24"/>
          <w:szCs w:val="24"/>
        </w:rPr>
        <w:t xml:space="preserve"> </w:t>
      </w:r>
    </w:p>
    <w:p w14:paraId="3442706D" w14:textId="77777777" w:rsidR="002F5C5E" w:rsidRPr="00862505" w:rsidRDefault="002F5C5E" w:rsidP="002F5C5E">
      <w:pPr>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
        <w:gridCol w:w="4678"/>
        <w:gridCol w:w="567"/>
      </w:tblGrid>
      <w:tr w:rsidR="002F5C5E" w:rsidRPr="00862505" w14:paraId="34427073" w14:textId="77777777" w:rsidTr="00AC4A99">
        <w:tc>
          <w:tcPr>
            <w:tcW w:w="4111" w:type="dxa"/>
            <w:shd w:val="clear" w:color="auto" w:fill="auto"/>
          </w:tcPr>
          <w:p w14:paraId="3442706E" w14:textId="77777777" w:rsidR="002F5C5E" w:rsidRPr="00862505" w:rsidRDefault="002F5C5E" w:rsidP="00AC4A99">
            <w:pPr>
              <w:rPr>
                <w:sz w:val="24"/>
                <w:szCs w:val="24"/>
              </w:rPr>
            </w:pPr>
            <w:r w:rsidRPr="00862505">
              <w:rPr>
                <w:sz w:val="24"/>
                <w:szCs w:val="24"/>
              </w:rPr>
              <w:t>Clean, green and safe</w:t>
            </w:r>
          </w:p>
          <w:p w14:paraId="3442706F" w14:textId="77777777" w:rsidR="002F5C5E" w:rsidRPr="00862505" w:rsidRDefault="002F5C5E" w:rsidP="00AC4A99">
            <w:pPr>
              <w:rPr>
                <w:sz w:val="24"/>
                <w:szCs w:val="24"/>
              </w:rPr>
            </w:pPr>
          </w:p>
        </w:tc>
        <w:tc>
          <w:tcPr>
            <w:tcW w:w="567" w:type="dxa"/>
            <w:shd w:val="clear" w:color="auto" w:fill="auto"/>
          </w:tcPr>
          <w:p w14:paraId="34427070" w14:textId="77777777" w:rsidR="002F5C5E" w:rsidRPr="00862505" w:rsidRDefault="002F5C5E" w:rsidP="00AC4A99">
            <w:pPr>
              <w:rPr>
                <w:sz w:val="24"/>
                <w:szCs w:val="24"/>
              </w:rPr>
            </w:pPr>
          </w:p>
        </w:tc>
        <w:tc>
          <w:tcPr>
            <w:tcW w:w="4678" w:type="dxa"/>
            <w:shd w:val="clear" w:color="auto" w:fill="auto"/>
          </w:tcPr>
          <w:p w14:paraId="34427071" w14:textId="77777777" w:rsidR="002F5C5E" w:rsidRPr="00862505" w:rsidRDefault="002F5C5E" w:rsidP="00AC4A99">
            <w:pPr>
              <w:rPr>
                <w:sz w:val="24"/>
                <w:szCs w:val="24"/>
              </w:rPr>
            </w:pPr>
            <w:r w:rsidRPr="00862505">
              <w:rPr>
                <w:sz w:val="24"/>
                <w:szCs w:val="24"/>
              </w:rPr>
              <w:t>Strong and healthy communities</w:t>
            </w:r>
          </w:p>
        </w:tc>
        <w:tc>
          <w:tcPr>
            <w:tcW w:w="567" w:type="dxa"/>
            <w:shd w:val="clear" w:color="auto" w:fill="auto"/>
          </w:tcPr>
          <w:p w14:paraId="34427072" w14:textId="77777777" w:rsidR="002F5C5E" w:rsidRPr="00862505" w:rsidRDefault="002F5C5E" w:rsidP="00AC4A99">
            <w:pPr>
              <w:rPr>
                <w:sz w:val="24"/>
                <w:szCs w:val="24"/>
              </w:rPr>
            </w:pPr>
          </w:p>
        </w:tc>
      </w:tr>
      <w:tr w:rsidR="002F5C5E" w:rsidRPr="00862505" w14:paraId="34427078" w14:textId="77777777" w:rsidTr="00AC4A99">
        <w:tc>
          <w:tcPr>
            <w:tcW w:w="4111" w:type="dxa"/>
            <w:shd w:val="clear" w:color="auto" w:fill="auto"/>
          </w:tcPr>
          <w:p w14:paraId="34427074" w14:textId="77777777" w:rsidR="002F5C5E" w:rsidRPr="00862505" w:rsidRDefault="002F5C5E" w:rsidP="00AC4A99">
            <w:pPr>
              <w:rPr>
                <w:sz w:val="24"/>
                <w:szCs w:val="24"/>
              </w:rPr>
            </w:pPr>
            <w:r w:rsidRPr="00862505">
              <w:rPr>
                <w:sz w:val="24"/>
                <w:szCs w:val="24"/>
              </w:rPr>
              <w:t>Strong South Ribble in the heart of prosperous Lancashire</w:t>
            </w:r>
          </w:p>
        </w:tc>
        <w:tc>
          <w:tcPr>
            <w:tcW w:w="567" w:type="dxa"/>
            <w:shd w:val="clear" w:color="auto" w:fill="auto"/>
          </w:tcPr>
          <w:p w14:paraId="34427075" w14:textId="77777777" w:rsidR="002F5C5E" w:rsidRPr="00862505" w:rsidRDefault="002F5C5E" w:rsidP="00AC4A99">
            <w:pPr>
              <w:rPr>
                <w:sz w:val="24"/>
                <w:szCs w:val="24"/>
              </w:rPr>
            </w:pPr>
          </w:p>
        </w:tc>
        <w:tc>
          <w:tcPr>
            <w:tcW w:w="4678" w:type="dxa"/>
            <w:shd w:val="clear" w:color="auto" w:fill="auto"/>
          </w:tcPr>
          <w:p w14:paraId="34427076" w14:textId="77777777" w:rsidR="002F5C5E" w:rsidRPr="00862505" w:rsidRDefault="002F5C5E" w:rsidP="00AC4A99">
            <w:pPr>
              <w:rPr>
                <w:sz w:val="24"/>
                <w:szCs w:val="24"/>
              </w:rPr>
            </w:pPr>
            <w:r w:rsidRPr="00862505">
              <w:rPr>
                <w:sz w:val="24"/>
                <w:szCs w:val="24"/>
              </w:rPr>
              <w:t>Efficient, effective and exceptional council</w:t>
            </w:r>
          </w:p>
        </w:tc>
        <w:tc>
          <w:tcPr>
            <w:tcW w:w="567" w:type="dxa"/>
            <w:shd w:val="clear" w:color="auto" w:fill="auto"/>
          </w:tcPr>
          <w:p w14:paraId="34427077" w14:textId="77777777" w:rsidR="002F5C5E" w:rsidRPr="00862505" w:rsidRDefault="00CB632F" w:rsidP="00AC4A99">
            <w:pPr>
              <w:rPr>
                <w:sz w:val="24"/>
                <w:szCs w:val="24"/>
              </w:rPr>
            </w:pPr>
            <w:r w:rsidRPr="00862505">
              <w:rPr>
                <w:sz w:val="24"/>
                <w:szCs w:val="24"/>
              </w:rPr>
              <w:t>x</w:t>
            </w:r>
          </w:p>
        </w:tc>
      </w:tr>
    </w:tbl>
    <w:p w14:paraId="34427079" w14:textId="77777777" w:rsidR="002F5C5E" w:rsidRPr="00862505" w:rsidRDefault="002F5C5E" w:rsidP="00862505">
      <w:pPr>
        <w:rPr>
          <w:sz w:val="24"/>
          <w:szCs w:val="24"/>
        </w:rPr>
      </w:pPr>
    </w:p>
    <w:p w14:paraId="3442707A" w14:textId="77777777" w:rsidR="00862505" w:rsidRDefault="00862505" w:rsidP="00862505">
      <w:pPr>
        <w:pStyle w:val="ListParagraph"/>
        <w:numPr>
          <w:ilvl w:val="0"/>
          <w:numId w:val="8"/>
        </w:numPr>
        <w:rPr>
          <w:rFonts w:ascii="Arial" w:hAnsi="Arial" w:cs="Arial"/>
          <w:b/>
          <w:sz w:val="24"/>
          <w:szCs w:val="24"/>
        </w:rPr>
      </w:pPr>
      <w:r w:rsidRPr="00862505">
        <w:rPr>
          <w:rFonts w:ascii="Arial" w:hAnsi="Arial" w:cs="Arial"/>
          <w:b/>
          <w:sz w:val="24"/>
          <w:szCs w:val="24"/>
        </w:rPr>
        <w:t>CLOSURE OF ACCOUNTS TIMETABLE 2017/18 TIMETABLE</w:t>
      </w:r>
    </w:p>
    <w:p w14:paraId="3442707B" w14:textId="77777777" w:rsidR="00587DAB" w:rsidRPr="00A600F0" w:rsidRDefault="00A600F0" w:rsidP="00A600F0">
      <w:pPr>
        <w:pStyle w:val="Default"/>
        <w:ind w:left="720" w:hanging="720"/>
      </w:pPr>
      <w:r>
        <w:t>3.1</w:t>
      </w:r>
      <w:r>
        <w:tab/>
      </w:r>
      <w:r w:rsidR="00587DAB" w:rsidRPr="00A600F0">
        <w:t xml:space="preserve">The Accounts and Audit Regulations 2015 </w:t>
      </w:r>
      <w:r>
        <w:t xml:space="preserve">came into force on 1 April 2015 and </w:t>
      </w:r>
      <w:r w:rsidRPr="00587DAB">
        <w:rPr>
          <w:szCs w:val="22"/>
        </w:rPr>
        <w:t>contain provisions on financial management, annual accounts, internal control and audit procedures affecting all local authorities</w:t>
      </w:r>
      <w:r w:rsidR="00587DAB" w:rsidRPr="00A600F0">
        <w:t xml:space="preserve"> The main impact of the 2015 Regulations is that changes to the year-</w:t>
      </w:r>
      <w:r w:rsidR="00563CE0">
        <w:t xml:space="preserve"> </w:t>
      </w:r>
      <w:r w:rsidR="00587DAB" w:rsidRPr="00A600F0">
        <w:t>end closedown process and external audit arrangements will be required to enable the Council’s audited accounts to be published 2 months earlier than they are currently. This deadline applies from 2017/18 onwards</w:t>
      </w:r>
      <w:r w:rsidRPr="00A600F0">
        <w:t>.</w:t>
      </w:r>
      <w:r w:rsidR="00587DAB" w:rsidRPr="00A600F0">
        <w:t xml:space="preserve"> </w:t>
      </w:r>
    </w:p>
    <w:p w14:paraId="3442707C" w14:textId="77777777" w:rsidR="00587DAB" w:rsidRDefault="00587DAB" w:rsidP="00587DAB">
      <w:pPr>
        <w:pStyle w:val="Default"/>
        <w:rPr>
          <w:sz w:val="22"/>
          <w:szCs w:val="22"/>
        </w:rPr>
      </w:pPr>
    </w:p>
    <w:p w14:paraId="3442707D" w14:textId="77777777" w:rsidR="00587DAB" w:rsidRDefault="00A600F0" w:rsidP="00A600F0">
      <w:pPr>
        <w:pStyle w:val="Default"/>
        <w:ind w:left="780" w:hanging="780"/>
        <w:rPr>
          <w:szCs w:val="22"/>
        </w:rPr>
      </w:pPr>
      <w:r>
        <w:rPr>
          <w:szCs w:val="22"/>
        </w:rPr>
        <w:t>3.2</w:t>
      </w:r>
      <w:r>
        <w:rPr>
          <w:szCs w:val="22"/>
        </w:rPr>
        <w:tab/>
      </w:r>
      <w:r w:rsidR="00587DAB" w:rsidRPr="00587DAB">
        <w:rPr>
          <w:szCs w:val="22"/>
        </w:rPr>
        <w:t>The 2015 regulations have brought forward significantly the timetable for the c</w:t>
      </w:r>
      <w:r>
        <w:rPr>
          <w:szCs w:val="22"/>
        </w:rPr>
        <w:t>losure of Accounts, as follows:</w:t>
      </w:r>
    </w:p>
    <w:p w14:paraId="3442707E" w14:textId="77777777" w:rsidR="00A600F0" w:rsidRDefault="00A600F0" w:rsidP="00A600F0">
      <w:pPr>
        <w:pStyle w:val="Default"/>
        <w:ind w:left="780" w:hanging="780"/>
        <w:rPr>
          <w:szCs w:val="22"/>
        </w:rPr>
      </w:pPr>
    </w:p>
    <w:p w14:paraId="3442707F" w14:textId="77777777" w:rsidR="00587DAB" w:rsidRDefault="00587DAB" w:rsidP="00587DAB">
      <w:pPr>
        <w:pStyle w:val="Default"/>
        <w:numPr>
          <w:ilvl w:val="0"/>
          <w:numId w:val="12"/>
        </w:numPr>
        <w:rPr>
          <w:szCs w:val="22"/>
        </w:rPr>
      </w:pPr>
      <w:r w:rsidRPr="00A600F0">
        <w:rPr>
          <w:szCs w:val="22"/>
        </w:rPr>
        <w:lastRenderedPageBreak/>
        <w:t>the Responsible Financial Officer (RFO) must certify the presentation of the accounts by 31 May, and the accounts will be open for</w:t>
      </w:r>
      <w:r w:rsidR="00A600F0">
        <w:rPr>
          <w:szCs w:val="22"/>
        </w:rPr>
        <w:t xml:space="preserve"> public inspectio</w:t>
      </w:r>
      <w:r w:rsidR="00C969F5">
        <w:rPr>
          <w:szCs w:val="22"/>
        </w:rPr>
        <w:t>n from 1 June</w:t>
      </w:r>
      <w:r w:rsidR="00A600F0">
        <w:rPr>
          <w:szCs w:val="22"/>
        </w:rPr>
        <w:t>;</w:t>
      </w:r>
      <w:r w:rsidRPr="00A600F0">
        <w:rPr>
          <w:szCs w:val="22"/>
        </w:rPr>
        <w:t xml:space="preserve"> </w:t>
      </w:r>
    </w:p>
    <w:p w14:paraId="34427080" w14:textId="77777777" w:rsidR="00A600F0" w:rsidRDefault="00587DAB" w:rsidP="00587DAB">
      <w:pPr>
        <w:pStyle w:val="Default"/>
        <w:numPr>
          <w:ilvl w:val="0"/>
          <w:numId w:val="12"/>
        </w:numPr>
        <w:rPr>
          <w:szCs w:val="22"/>
        </w:rPr>
      </w:pPr>
      <w:r w:rsidRPr="00A600F0">
        <w:rPr>
          <w:szCs w:val="22"/>
        </w:rPr>
        <w:t>the annual accounts (including Annual Governance Statement) must be published with the audit opinion and certificate, and before that must have been approved by me</w:t>
      </w:r>
      <w:r w:rsidR="00A600F0">
        <w:rPr>
          <w:szCs w:val="22"/>
        </w:rPr>
        <w:t>mbers, by no later than 31 July; and</w:t>
      </w:r>
    </w:p>
    <w:p w14:paraId="34427081" w14:textId="77777777" w:rsidR="00587DAB" w:rsidRPr="00A600F0" w:rsidRDefault="00587DAB" w:rsidP="00587DAB">
      <w:pPr>
        <w:pStyle w:val="Default"/>
        <w:numPr>
          <w:ilvl w:val="0"/>
          <w:numId w:val="12"/>
        </w:numPr>
        <w:rPr>
          <w:szCs w:val="22"/>
        </w:rPr>
      </w:pPr>
      <w:r w:rsidRPr="00A600F0">
        <w:rPr>
          <w:szCs w:val="22"/>
        </w:rPr>
        <w:t xml:space="preserve"> the RFO must re-certify the presentation of the annual accounts before Member approval is given. </w:t>
      </w:r>
    </w:p>
    <w:p w14:paraId="34427082" w14:textId="77777777" w:rsidR="00587DAB" w:rsidRDefault="00587DAB" w:rsidP="00587DAB">
      <w:pPr>
        <w:pStyle w:val="Default"/>
        <w:rPr>
          <w:szCs w:val="22"/>
        </w:rPr>
      </w:pPr>
    </w:p>
    <w:p w14:paraId="34427083" w14:textId="77777777" w:rsidR="00587DAB" w:rsidRDefault="0072427D" w:rsidP="0072427D">
      <w:pPr>
        <w:pStyle w:val="Default"/>
        <w:ind w:left="720" w:hanging="720"/>
        <w:rPr>
          <w:szCs w:val="22"/>
        </w:rPr>
      </w:pPr>
      <w:r>
        <w:rPr>
          <w:szCs w:val="22"/>
        </w:rPr>
        <w:t>3.3</w:t>
      </w:r>
      <w:r>
        <w:rPr>
          <w:szCs w:val="22"/>
        </w:rPr>
        <w:tab/>
      </w:r>
      <w:r w:rsidR="00587DAB" w:rsidRPr="00587DAB">
        <w:rPr>
          <w:szCs w:val="22"/>
        </w:rPr>
        <w:t xml:space="preserve">The 2015 Regulations require that the RFO must ensure that the period for the exercise of public rights includes the first 10 working days of June of the financial year immediately following the end of the financial year being reported. The period for the exercise of public rights (which will include rights of objection, inspection and questioning of the external auditor) may only be exercised within a 30 day period. During the period for the exercise of public rights the Council must make all relevant documents available for public inspection. </w:t>
      </w:r>
    </w:p>
    <w:p w14:paraId="34427084" w14:textId="77777777" w:rsidR="0072427D" w:rsidRDefault="0072427D" w:rsidP="0072427D">
      <w:pPr>
        <w:pStyle w:val="Default"/>
        <w:ind w:left="720" w:hanging="720"/>
        <w:rPr>
          <w:szCs w:val="22"/>
        </w:rPr>
      </w:pPr>
    </w:p>
    <w:p w14:paraId="34427085" w14:textId="77777777" w:rsidR="0072427D" w:rsidRDefault="0072427D" w:rsidP="0072427D">
      <w:pPr>
        <w:pStyle w:val="Default"/>
        <w:ind w:left="720" w:hanging="720"/>
        <w:rPr>
          <w:szCs w:val="22"/>
        </w:rPr>
      </w:pPr>
      <w:r>
        <w:rPr>
          <w:szCs w:val="22"/>
        </w:rPr>
        <w:t>3.4</w:t>
      </w:r>
      <w:r>
        <w:rPr>
          <w:szCs w:val="22"/>
        </w:rPr>
        <w:tab/>
        <w:t>As a consequence of the new de</w:t>
      </w:r>
      <w:r w:rsidR="00563CE0">
        <w:rPr>
          <w:szCs w:val="22"/>
        </w:rPr>
        <w:t>adlines</w:t>
      </w:r>
      <w:r>
        <w:rPr>
          <w:szCs w:val="22"/>
        </w:rPr>
        <w:t>, meetings of the Governance Committee will need to be held on the following dates to deal with the requirements of the 2015 Regulations:</w:t>
      </w:r>
    </w:p>
    <w:p w14:paraId="34427086" w14:textId="77777777" w:rsidR="0072427D" w:rsidRDefault="0072427D" w:rsidP="0072427D">
      <w:pPr>
        <w:pStyle w:val="Default"/>
        <w:ind w:left="720" w:hanging="720"/>
        <w:rPr>
          <w:szCs w:val="22"/>
        </w:rPr>
      </w:pPr>
    </w:p>
    <w:p w14:paraId="34427087" w14:textId="77777777" w:rsidR="0072427D" w:rsidRDefault="006F3A2D" w:rsidP="009A48CF">
      <w:pPr>
        <w:pStyle w:val="Default"/>
        <w:numPr>
          <w:ilvl w:val="0"/>
          <w:numId w:val="13"/>
        </w:numPr>
        <w:ind w:left="1080"/>
        <w:rPr>
          <w:szCs w:val="22"/>
        </w:rPr>
      </w:pPr>
      <w:r>
        <w:rPr>
          <w:szCs w:val="22"/>
        </w:rPr>
        <w:t>Thursday 24</w:t>
      </w:r>
      <w:r w:rsidR="009A48CF">
        <w:rPr>
          <w:szCs w:val="22"/>
        </w:rPr>
        <w:t xml:space="preserve"> May 2018</w:t>
      </w:r>
      <w:r w:rsidR="0072427D">
        <w:rPr>
          <w:szCs w:val="22"/>
        </w:rPr>
        <w:t xml:space="preserve"> – </w:t>
      </w:r>
      <w:r>
        <w:rPr>
          <w:szCs w:val="22"/>
        </w:rPr>
        <w:t xml:space="preserve">Draft </w:t>
      </w:r>
      <w:r w:rsidR="0072427D">
        <w:rPr>
          <w:szCs w:val="22"/>
        </w:rPr>
        <w:t>Statement</w:t>
      </w:r>
      <w:r>
        <w:rPr>
          <w:szCs w:val="22"/>
        </w:rPr>
        <w:t xml:space="preserve"> of Accounts 2017/18 and Draft Annual </w:t>
      </w:r>
      <w:r w:rsidR="0072427D">
        <w:rPr>
          <w:szCs w:val="22"/>
        </w:rPr>
        <w:t>Governance Statement</w:t>
      </w:r>
    </w:p>
    <w:p w14:paraId="34427088" w14:textId="77777777" w:rsidR="009A48CF" w:rsidRDefault="009A48CF" w:rsidP="009A48CF">
      <w:pPr>
        <w:pStyle w:val="Default"/>
        <w:ind w:left="360"/>
        <w:rPr>
          <w:szCs w:val="22"/>
        </w:rPr>
      </w:pPr>
    </w:p>
    <w:p w14:paraId="34427089" w14:textId="77777777" w:rsidR="009A48CF" w:rsidRDefault="006F3A2D" w:rsidP="009A48CF">
      <w:pPr>
        <w:pStyle w:val="Default"/>
        <w:numPr>
          <w:ilvl w:val="0"/>
          <w:numId w:val="13"/>
        </w:numPr>
        <w:ind w:left="1080"/>
        <w:rPr>
          <w:szCs w:val="22"/>
        </w:rPr>
      </w:pPr>
      <w:r>
        <w:rPr>
          <w:szCs w:val="22"/>
        </w:rPr>
        <w:t>Thursday 26</w:t>
      </w:r>
      <w:r w:rsidR="009A48CF">
        <w:rPr>
          <w:szCs w:val="22"/>
        </w:rPr>
        <w:t xml:space="preserve"> July 2018 – Audited Statement of Accounts 2017/18</w:t>
      </w:r>
      <w:r>
        <w:rPr>
          <w:szCs w:val="22"/>
        </w:rPr>
        <w:t xml:space="preserve"> and Final Annual Governance Statement</w:t>
      </w:r>
    </w:p>
    <w:p w14:paraId="3442708A" w14:textId="77777777" w:rsidR="009A48CF" w:rsidRDefault="009A48CF" w:rsidP="009A48CF">
      <w:pPr>
        <w:pStyle w:val="Default"/>
        <w:rPr>
          <w:szCs w:val="22"/>
        </w:rPr>
      </w:pPr>
    </w:p>
    <w:p w14:paraId="3442708B" w14:textId="77777777" w:rsidR="009A48CF" w:rsidRPr="00587DAB" w:rsidRDefault="009A48CF" w:rsidP="009A48CF">
      <w:pPr>
        <w:pStyle w:val="Default"/>
        <w:ind w:left="720" w:hanging="720"/>
        <w:rPr>
          <w:szCs w:val="22"/>
        </w:rPr>
      </w:pPr>
      <w:r>
        <w:rPr>
          <w:szCs w:val="22"/>
        </w:rPr>
        <w:t xml:space="preserve">3.5 </w:t>
      </w:r>
      <w:r>
        <w:rPr>
          <w:szCs w:val="22"/>
        </w:rPr>
        <w:tab/>
        <w:t>Officers are currently preparing a draft calendar of meetings for 2018/19 and at the present time it is envisaged that meetings of thi</w:t>
      </w:r>
      <w:r w:rsidR="00563CE0">
        <w:rPr>
          <w:szCs w:val="22"/>
        </w:rPr>
        <w:t xml:space="preserve">s Committee will be held </w:t>
      </w:r>
      <w:r w:rsidR="00392E3D">
        <w:rPr>
          <w:szCs w:val="22"/>
        </w:rPr>
        <w:t xml:space="preserve">in </w:t>
      </w:r>
      <w:r w:rsidR="00563CE0">
        <w:rPr>
          <w:szCs w:val="22"/>
        </w:rPr>
        <w:t>November</w:t>
      </w:r>
      <w:r>
        <w:rPr>
          <w:szCs w:val="22"/>
        </w:rPr>
        <w:t xml:space="preserve"> 2018, January 2019 and March 2019, following on from the meetings in May and July 2018. The </w:t>
      </w:r>
      <w:r w:rsidR="00C969F5">
        <w:rPr>
          <w:szCs w:val="22"/>
        </w:rPr>
        <w:t xml:space="preserve">Calendar will be submitted to Council for approval in due course.  </w:t>
      </w:r>
    </w:p>
    <w:p w14:paraId="3442708C" w14:textId="77777777" w:rsidR="00587DAB" w:rsidRPr="00587DAB" w:rsidRDefault="00587DAB" w:rsidP="00587DAB">
      <w:pPr>
        <w:pStyle w:val="Default"/>
        <w:rPr>
          <w:szCs w:val="22"/>
        </w:rPr>
      </w:pPr>
    </w:p>
    <w:p w14:paraId="3442708D" w14:textId="77777777" w:rsidR="002F5C5E" w:rsidRPr="00862505" w:rsidRDefault="00862505" w:rsidP="002F5C5E">
      <w:pPr>
        <w:rPr>
          <w:b/>
          <w:sz w:val="24"/>
          <w:szCs w:val="24"/>
        </w:rPr>
      </w:pPr>
      <w:r>
        <w:rPr>
          <w:b/>
          <w:sz w:val="24"/>
          <w:szCs w:val="24"/>
        </w:rPr>
        <w:t>4</w:t>
      </w:r>
      <w:r w:rsidR="002F5C5E" w:rsidRPr="00862505">
        <w:rPr>
          <w:b/>
          <w:sz w:val="24"/>
          <w:szCs w:val="24"/>
        </w:rPr>
        <w:t>.   WIDER IMPLICATIONS AND BACKGROUND DOCUMENTATION</w:t>
      </w:r>
    </w:p>
    <w:p w14:paraId="3442708E" w14:textId="77777777" w:rsidR="002F5C5E" w:rsidRPr="00862505" w:rsidRDefault="002F5C5E" w:rsidP="002F5C5E">
      <w:pPr>
        <w:rPr>
          <w:b/>
          <w:sz w:val="24"/>
          <w:szCs w:val="24"/>
        </w:rPr>
      </w:pPr>
    </w:p>
    <w:p w14:paraId="3442708F" w14:textId="77777777" w:rsidR="003C36EB" w:rsidRPr="00862505" w:rsidRDefault="00862505" w:rsidP="00862505">
      <w:pPr>
        <w:rPr>
          <w:b/>
          <w:sz w:val="24"/>
          <w:szCs w:val="24"/>
        </w:rPr>
      </w:pPr>
      <w:r>
        <w:rPr>
          <w:b/>
          <w:sz w:val="24"/>
          <w:szCs w:val="24"/>
        </w:rPr>
        <w:t>4.1</w:t>
      </w:r>
      <w:r>
        <w:rPr>
          <w:b/>
          <w:sz w:val="24"/>
          <w:szCs w:val="24"/>
        </w:rPr>
        <w:tab/>
      </w:r>
      <w:r w:rsidR="003C36EB" w:rsidRPr="00862505">
        <w:rPr>
          <w:b/>
          <w:sz w:val="24"/>
          <w:szCs w:val="24"/>
        </w:rPr>
        <w:t>Comments of the Statutory Finance Officer</w:t>
      </w:r>
    </w:p>
    <w:p w14:paraId="34427090" w14:textId="77777777" w:rsidR="003C36EB" w:rsidRDefault="003C36EB" w:rsidP="003C36EB">
      <w:pPr>
        <w:ind w:firstLine="360"/>
        <w:rPr>
          <w:b/>
          <w:sz w:val="24"/>
          <w:szCs w:val="24"/>
        </w:rPr>
      </w:pPr>
    </w:p>
    <w:p w14:paraId="34427091" w14:textId="77777777" w:rsidR="00862505" w:rsidRPr="0059631A" w:rsidRDefault="00E61C3E" w:rsidP="00E61C3E">
      <w:pPr>
        <w:rPr>
          <w:b/>
          <w:sz w:val="24"/>
          <w:szCs w:val="24"/>
        </w:rPr>
      </w:pPr>
      <w:r>
        <w:rPr>
          <w:sz w:val="24"/>
          <w:szCs w:val="24"/>
        </w:rPr>
        <w:t xml:space="preserve">Officers are working with the external auditors to plan for these changes and regular meetings are </w:t>
      </w:r>
      <w:r w:rsidR="0059631A" w:rsidRPr="0059631A">
        <w:rPr>
          <w:sz w:val="24"/>
          <w:szCs w:val="24"/>
        </w:rPr>
        <w:t xml:space="preserve">being scheduled with </w:t>
      </w:r>
      <w:r>
        <w:rPr>
          <w:sz w:val="24"/>
          <w:szCs w:val="24"/>
        </w:rPr>
        <w:t xml:space="preserve">them. </w:t>
      </w:r>
      <w:r w:rsidR="0059631A" w:rsidRPr="0059631A">
        <w:rPr>
          <w:sz w:val="24"/>
          <w:szCs w:val="24"/>
        </w:rPr>
        <w:t> </w:t>
      </w:r>
      <w:r w:rsidRPr="0059631A">
        <w:rPr>
          <w:sz w:val="24"/>
          <w:szCs w:val="24"/>
        </w:rPr>
        <w:t xml:space="preserve">The closure timetable has been reviewed to ensure that the revised statutory deadlines can be met. </w:t>
      </w:r>
      <w:r w:rsidR="0059631A" w:rsidRPr="0059631A">
        <w:rPr>
          <w:sz w:val="24"/>
          <w:szCs w:val="24"/>
        </w:rPr>
        <w:t xml:space="preserve"> </w:t>
      </w:r>
    </w:p>
    <w:p w14:paraId="34427092" w14:textId="77777777" w:rsidR="003C36EB" w:rsidRPr="00862505" w:rsidRDefault="003C36EB" w:rsidP="003C36EB">
      <w:pPr>
        <w:ind w:firstLine="360"/>
        <w:rPr>
          <w:b/>
          <w:sz w:val="24"/>
          <w:szCs w:val="24"/>
        </w:rPr>
      </w:pPr>
    </w:p>
    <w:p w14:paraId="34427093" w14:textId="77777777" w:rsidR="003C36EB" w:rsidRPr="00862505" w:rsidRDefault="00862505" w:rsidP="00862505">
      <w:pPr>
        <w:rPr>
          <w:b/>
          <w:sz w:val="24"/>
          <w:szCs w:val="24"/>
        </w:rPr>
      </w:pPr>
      <w:r>
        <w:rPr>
          <w:b/>
          <w:sz w:val="24"/>
          <w:szCs w:val="24"/>
        </w:rPr>
        <w:t>4.2</w:t>
      </w:r>
      <w:r>
        <w:rPr>
          <w:b/>
          <w:sz w:val="24"/>
          <w:szCs w:val="24"/>
        </w:rPr>
        <w:tab/>
      </w:r>
      <w:r w:rsidR="003C36EB" w:rsidRPr="00862505">
        <w:rPr>
          <w:b/>
          <w:sz w:val="24"/>
          <w:szCs w:val="24"/>
        </w:rPr>
        <w:t xml:space="preserve">Comments of the </w:t>
      </w:r>
      <w:r w:rsidR="00D37BAE" w:rsidRPr="00862505">
        <w:rPr>
          <w:b/>
          <w:sz w:val="24"/>
          <w:szCs w:val="24"/>
        </w:rPr>
        <w:t>Monitoring Officer</w:t>
      </w:r>
    </w:p>
    <w:p w14:paraId="34427094" w14:textId="77777777" w:rsidR="003C36EB" w:rsidRDefault="00357C5E" w:rsidP="003C36EB">
      <w:pPr>
        <w:ind w:firstLine="360"/>
        <w:rPr>
          <w:b/>
          <w:sz w:val="24"/>
          <w:szCs w:val="24"/>
        </w:rPr>
      </w:pPr>
      <w:r>
        <w:rPr>
          <w:b/>
          <w:sz w:val="24"/>
          <w:szCs w:val="24"/>
        </w:rPr>
        <w:t xml:space="preserve">  </w:t>
      </w:r>
    </w:p>
    <w:p w14:paraId="34427095" w14:textId="77777777" w:rsidR="00357C5E" w:rsidRPr="00357C5E" w:rsidRDefault="00357C5E" w:rsidP="00357C5E">
      <w:pPr>
        <w:rPr>
          <w:sz w:val="24"/>
          <w:szCs w:val="24"/>
        </w:rPr>
      </w:pPr>
      <w:r w:rsidRPr="00357C5E">
        <w:rPr>
          <w:sz w:val="24"/>
          <w:szCs w:val="24"/>
        </w:rPr>
        <w:t xml:space="preserve">The proposed change in the timetable is necessitated by changes introduced by statutory regulations. Clearly we must ensure that the annual accounts and Annual Governance Statement are published on time. </w:t>
      </w:r>
    </w:p>
    <w:p w14:paraId="34427096" w14:textId="77777777" w:rsidR="00357C5E" w:rsidRPr="00862505" w:rsidRDefault="00357C5E" w:rsidP="003C36EB">
      <w:pPr>
        <w:ind w:firstLine="360"/>
        <w:rPr>
          <w:b/>
          <w:sz w:val="24"/>
          <w:szCs w:val="24"/>
        </w:rPr>
      </w:pPr>
    </w:p>
    <w:p w14:paraId="34427097" w14:textId="77777777" w:rsidR="003C36EB" w:rsidRDefault="003C36EB" w:rsidP="003C36EB">
      <w:pPr>
        <w:ind w:firstLine="360"/>
        <w:rPr>
          <w:b/>
          <w:sz w:val="24"/>
          <w:szCs w:val="24"/>
        </w:rPr>
      </w:pPr>
    </w:p>
    <w:p w14:paraId="6ACDA14C" w14:textId="77777777" w:rsidR="0071487D" w:rsidRDefault="0071487D" w:rsidP="003C36EB">
      <w:pPr>
        <w:ind w:firstLine="360"/>
        <w:rPr>
          <w:b/>
          <w:sz w:val="24"/>
          <w:szCs w:val="24"/>
        </w:rPr>
      </w:pPr>
    </w:p>
    <w:p w14:paraId="6DB1DDBD" w14:textId="77777777" w:rsidR="0071487D" w:rsidRDefault="0071487D" w:rsidP="003C36EB">
      <w:pPr>
        <w:ind w:firstLine="360"/>
        <w:rPr>
          <w:b/>
          <w:sz w:val="24"/>
          <w:szCs w:val="24"/>
        </w:rPr>
      </w:pPr>
    </w:p>
    <w:p w14:paraId="5B9482AF" w14:textId="77777777" w:rsidR="0071487D" w:rsidRPr="00862505" w:rsidRDefault="0071487D" w:rsidP="003C36EB">
      <w:pPr>
        <w:ind w:firstLine="360"/>
        <w:rPr>
          <w:b/>
          <w:sz w:val="24"/>
          <w:szCs w:val="24"/>
        </w:rPr>
      </w:pPr>
      <w:bookmarkStart w:id="0" w:name="_GoBack"/>
      <w:bookmarkEnd w:id="0"/>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862505" w14:paraId="344270B2" w14:textId="77777777" w:rsidTr="009C1143">
        <w:trPr>
          <w:trHeight w:val="334"/>
        </w:trPr>
        <w:tc>
          <w:tcPr>
            <w:tcW w:w="3544" w:type="dxa"/>
            <w:shd w:val="clear" w:color="auto" w:fill="auto"/>
          </w:tcPr>
          <w:p w14:paraId="34427098" w14:textId="77777777" w:rsidR="002F5C5E" w:rsidRPr="00862505" w:rsidRDefault="002F5C5E" w:rsidP="00AC4A99">
            <w:pPr>
              <w:rPr>
                <w:b/>
                <w:sz w:val="24"/>
                <w:szCs w:val="24"/>
              </w:rPr>
            </w:pPr>
            <w:r w:rsidRPr="00862505">
              <w:rPr>
                <w:b/>
                <w:sz w:val="24"/>
                <w:szCs w:val="24"/>
              </w:rPr>
              <w:t xml:space="preserve">Other implications: </w:t>
            </w:r>
          </w:p>
          <w:p w14:paraId="34427099" w14:textId="77777777" w:rsidR="002F5C5E" w:rsidRPr="00862505" w:rsidRDefault="002F5C5E" w:rsidP="00AC4A99">
            <w:pPr>
              <w:rPr>
                <w:b/>
                <w:sz w:val="24"/>
                <w:szCs w:val="24"/>
              </w:rPr>
            </w:pPr>
          </w:p>
          <w:p w14:paraId="3442709A" w14:textId="77777777" w:rsidR="002F5C5E" w:rsidRPr="00862505" w:rsidRDefault="002F5C5E" w:rsidP="0047741D">
            <w:pPr>
              <w:numPr>
                <w:ilvl w:val="0"/>
                <w:numId w:val="11"/>
              </w:numPr>
              <w:ind w:left="360"/>
              <w:rPr>
                <w:b/>
                <w:sz w:val="24"/>
                <w:szCs w:val="24"/>
              </w:rPr>
            </w:pPr>
            <w:r w:rsidRPr="00862505">
              <w:rPr>
                <w:b/>
                <w:sz w:val="24"/>
                <w:szCs w:val="24"/>
              </w:rPr>
              <w:t>Risk</w:t>
            </w:r>
          </w:p>
          <w:p w14:paraId="3442709B" w14:textId="77777777" w:rsidR="00CB632F" w:rsidRPr="00862505" w:rsidRDefault="00CB632F" w:rsidP="00CB632F">
            <w:pPr>
              <w:ind w:left="360"/>
              <w:rPr>
                <w:b/>
                <w:sz w:val="24"/>
                <w:szCs w:val="24"/>
              </w:rPr>
            </w:pPr>
          </w:p>
          <w:p w14:paraId="3442709C" w14:textId="77777777" w:rsidR="00CB632F" w:rsidRPr="00862505" w:rsidRDefault="00CB632F" w:rsidP="00CB632F">
            <w:pPr>
              <w:ind w:left="360"/>
              <w:rPr>
                <w:b/>
                <w:sz w:val="24"/>
                <w:szCs w:val="24"/>
              </w:rPr>
            </w:pPr>
          </w:p>
          <w:p w14:paraId="3442709D" w14:textId="77777777" w:rsidR="002F5C5E" w:rsidRPr="00862505" w:rsidRDefault="002F5C5E" w:rsidP="0047741D">
            <w:pPr>
              <w:rPr>
                <w:b/>
                <w:sz w:val="24"/>
                <w:szCs w:val="24"/>
              </w:rPr>
            </w:pPr>
          </w:p>
          <w:p w14:paraId="3442709E" w14:textId="77777777" w:rsidR="002F5C5E" w:rsidRPr="00862505" w:rsidRDefault="002F5C5E" w:rsidP="0047741D">
            <w:pPr>
              <w:numPr>
                <w:ilvl w:val="0"/>
                <w:numId w:val="11"/>
              </w:numPr>
              <w:ind w:left="360"/>
              <w:rPr>
                <w:b/>
                <w:sz w:val="24"/>
                <w:szCs w:val="24"/>
              </w:rPr>
            </w:pPr>
            <w:r w:rsidRPr="00862505">
              <w:rPr>
                <w:b/>
                <w:sz w:val="24"/>
                <w:szCs w:val="24"/>
              </w:rPr>
              <w:t>Equality</w:t>
            </w:r>
            <w:r w:rsidR="0047741D" w:rsidRPr="00862505">
              <w:rPr>
                <w:b/>
                <w:sz w:val="24"/>
                <w:szCs w:val="24"/>
              </w:rPr>
              <w:t xml:space="preserve"> &amp; Diversity</w:t>
            </w:r>
          </w:p>
          <w:p w14:paraId="3442709F" w14:textId="77777777" w:rsidR="003C36EB" w:rsidRPr="00862505" w:rsidRDefault="003C36EB" w:rsidP="0047741D">
            <w:pPr>
              <w:rPr>
                <w:b/>
                <w:sz w:val="24"/>
                <w:szCs w:val="24"/>
              </w:rPr>
            </w:pPr>
          </w:p>
          <w:p w14:paraId="344270A0" w14:textId="77777777" w:rsidR="003C36EB" w:rsidRPr="00862505" w:rsidRDefault="00D37BAE" w:rsidP="0047741D">
            <w:pPr>
              <w:numPr>
                <w:ilvl w:val="0"/>
                <w:numId w:val="11"/>
              </w:numPr>
              <w:ind w:left="360"/>
              <w:rPr>
                <w:b/>
                <w:sz w:val="24"/>
                <w:szCs w:val="24"/>
              </w:rPr>
            </w:pPr>
            <w:r w:rsidRPr="00862505">
              <w:rPr>
                <w:b/>
                <w:sz w:val="24"/>
                <w:szCs w:val="24"/>
              </w:rPr>
              <w:t>HR</w:t>
            </w:r>
            <w:r w:rsidR="0047741D" w:rsidRPr="00862505">
              <w:rPr>
                <w:b/>
                <w:sz w:val="24"/>
                <w:szCs w:val="24"/>
              </w:rPr>
              <w:t xml:space="preserve"> &amp; Organisational Development </w:t>
            </w:r>
          </w:p>
          <w:p w14:paraId="344270A1" w14:textId="77777777" w:rsidR="0047741D" w:rsidRPr="00862505" w:rsidRDefault="0047741D" w:rsidP="0047741D">
            <w:pPr>
              <w:ind w:left="360"/>
              <w:rPr>
                <w:b/>
                <w:sz w:val="24"/>
                <w:szCs w:val="24"/>
              </w:rPr>
            </w:pPr>
          </w:p>
          <w:p w14:paraId="344270A2" w14:textId="77777777" w:rsidR="0047741D" w:rsidRPr="00862505" w:rsidRDefault="0047741D" w:rsidP="0047741D">
            <w:pPr>
              <w:numPr>
                <w:ilvl w:val="0"/>
                <w:numId w:val="11"/>
              </w:numPr>
              <w:ind w:left="360"/>
              <w:rPr>
                <w:b/>
                <w:sz w:val="24"/>
                <w:szCs w:val="24"/>
              </w:rPr>
            </w:pPr>
            <w:r w:rsidRPr="00862505">
              <w:rPr>
                <w:b/>
                <w:sz w:val="24"/>
                <w:szCs w:val="24"/>
              </w:rPr>
              <w:t>Property &amp; Asset Management</w:t>
            </w:r>
          </w:p>
          <w:p w14:paraId="344270A3" w14:textId="77777777" w:rsidR="0047741D" w:rsidRPr="00862505" w:rsidRDefault="0047741D" w:rsidP="0047741D">
            <w:pPr>
              <w:ind w:left="360"/>
              <w:rPr>
                <w:b/>
                <w:sz w:val="24"/>
                <w:szCs w:val="24"/>
              </w:rPr>
            </w:pPr>
          </w:p>
          <w:p w14:paraId="344270A4" w14:textId="77777777" w:rsidR="0047741D" w:rsidRPr="00862505" w:rsidRDefault="0047741D" w:rsidP="0047741D">
            <w:pPr>
              <w:numPr>
                <w:ilvl w:val="0"/>
                <w:numId w:val="11"/>
              </w:numPr>
              <w:ind w:left="360"/>
              <w:rPr>
                <w:b/>
                <w:sz w:val="24"/>
                <w:szCs w:val="24"/>
              </w:rPr>
            </w:pPr>
            <w:r w:rsidRPr="00862505">
              <w:rPr>
                <w:b/>
                <w:sz w:val="24"/>
                <w:szCs w:val="24"/>
              </w:rPr>
              <w:t>ICT / Technology</w:t>
            </w:r>
          </w:p>
          <w:p w14:paraId="344270A5" w14:textId="77777777" w:rsidR="002F5C5E" w:rsidRPr="00862505" w:rsidRDefault="002F5C5E" w:rsidP="00AC4A99">
            <w:pPr>
              <w:rPr>
                <w:b/>
                <w:sz w:val="24"/>
                <w:szCs w:val="24"/>
              </w:rPr>
            </w:pPr>
          </w:p>
          <w:p w14:paraId="344270A6" w14:textId="77777777" w:rsidR="002F5C5E" w:rsidRPr="00862505" w:rsidRDefault="002F5C5E" w:rsidP="00CB632F">
            <w:pPr>
              <w:rPr>
                <w:sz w:val="24"/>
                <w:szCs w:val="24"/>
              </w:rPr>
            </w:pPr>
          </w:p>
        </w:tc>
        <w:tc>
          <w:tcPr>
            <w:tcW w:w="6379" w:type="dxa"/>
            <w:shd w:val="clear" w:color="auto" w:fill="auto"/>
          </w:tcPr>
          <w:p w14:paraId="344270A7" w14:textId="77777777" w:rsidR="002F5C5E" w:rsidRPr="00862505" w:rsidRDefault="002F5C5E" w:rsidP="00AC4A99">
            <w:pPr>
              <w:rPr>
                <w:sz w:val="24"/>
                <w:szCs w:val="24"/>
              </w:rPr>
            </w:pPr>
          </w:p>
          <w:p w14:paraId="344270A8" w14:textId="77777777" w:rsidR="00CB632F" w:rsidRPr="00862505" w:rsidRDefault="00CB632F" w:rsidP="00AC4A99">
            <w:pPr>
              <w:rPr>
                <w:sz w:val="24"/>
                <w:szCs w:val="24"/>
              </w:rPr>
            </w:pPr>
          </w:p>
          <w:p w14:paraId="344270A9" w14:textId="77777777" w:rsidR="00CB632F" w:rsidRPr="00862505" w:rsidRDefault="00CB632F" w:rsidP="00AC4A99">
            <w:pPr>
              <w:rPr>
                <w:sz w:val="24"/>
                <w:szCs w:val="24"/>
              </w:rPr>
            </w:pPr>
            <w:r w:rsidRPr="00862505">
              <w:rPr>
                <w:sz w:val="24"/>
                <w:szCs w:val="24"/>
              </w:rPr>
              <w:lastRenderedPageBreak/>
              <w:t>Failure to meet the deadline for the closure of accounts would leave the Council open to challenge and criticism from the External Auditor.</w:t>
            </w:r>
          </w:p>
          <w:p w14:paraId="344270AA" w14:textId="77777777" w:rsidR="00CB632F" w:rsidRPr="00862505" w:rsidRDefault="00CB632F" w:rsidP="00AC4A99">
            <w:pPr>
              <w:rPr>
                <w:sz w:val="24"/>
                <w:szCs w:val="24"/>
              </w:rPr>
            </w:pPr>
          </w:p>
          <w:p w14:paraId="344270AB" w14:textId="77777777" w:rsidR="00CB632F" w:rsidRPr="00862505" w:rsidRDefault="00CB632F" w:rsidP="00AC4A99">
            <w:pPr>
              <w:rPr>
                <w:sz w:val="24"/>
                <w:szCs w:val="24"/>
              </w:rPr>
            </w:pPr>
            <w:r w:rsidRPr="00862505">
              <w:rPr>
                <w:sz w:val="24"/>
                <w:szCs w:val="24"/>
              </w:rPr>
              <w:t>There are no equality implications arising from this report</w:t>
            </w:r>
          </w:p>
          <w:p w14:paraId="344270AC" w14:textId="77777777" w:rsidR="00CB632F" w:rsidRPr="00862505" w:rsidRDefault="00CB632F" w:rsidP="00AC4A99">
            <w:pPr>
              <w:rPr>
                <w:sz w:val="24"/>
                <w:szCs w:val="24"/>
              </w:rPr>
            </w:pPr>
          </w:p>
          <w:p w14:paraId="344270AD" w14:textId="77777777" w:rsidR="00CB632F" w:rsidRPr="00862505" w:rsidRDefault="00CB632F" w:rsidP="00AC4A99">
            <w:pPr>
              <w:rPr>
                <w:sz w:val="24"/>
                <w:szCs w:val="24"/>
              </w:rPr>
            </w:pPr>
            <w:r w:rsidRPr="00862505">
              <w:rPr>
                <w:sz w:val="24"/>
                <w:szCs w:val="24"/>
              </w:rPr>
              <w:t>There are no HR &amp; Organisational Development implications arising from this report</w:t>
            </w:r>
          </w:p>
          <w:p w14:paraId="344270AE" w14:textId="77777777" w:rsidR="00CB632F" w:rsidRPr="00862505" w:rsidRDefault="00CB632F" w:rsidP="00AC4A99">
            <w:pPr>
              <w:rPr>
                <w:sz w:val="24"/>
                <w:szCs w:val="24"/>
              </w:rPr>
            </w:pPr>
          </w:p>
          <w:p w14:paraId="344270AF" w14:textId="77777777" w:rsidR="00CB632F" w:rsidRPr="00862505" w:rsidRDefault="00CB632F" w:rsidP="00AC4A99">
            <w:pPr>
              <w:rPr>
                <w:sz w:val="24"/>
                <w:szCs w:val="24"/>
              </w:rPr>
            </w:pPr>
            <w:r w:rsidRPr="00862505">
              <w:rPr>
                <w:sz w:val="24"/>
                <w:szCs w:val="24"/>
              </w:rPr>
              <w:t>There are no Property &amp; Asset Management implications arising from this report</w:t>
            </w:r>
          </w:p>
          <w:p w14:paraId="344270B0" w14:textId="77777777" w:rsidR="00CB632F" w:rsidRPr="00862505" w:rsidRDefault="00CB632F" w:rsidP="00AC4A99">
            <w:pPr>
              <w:rPr>
                <w:sz w:val="24"/>
                <w:szCs w:val="24"/>
              </w:rPr>
            </w:pPr>
          </w:p>
          <w:p w14:paraId="344270B1" w14:textId="77777777" w:rsidR="00CB632F" w:rsidRPr="00862505" w:rsidRDefault="00CB632F" w:rsidP="00AC4A99">
            <w:pPr>
              <w:rPr>
                <w:sz w:val="24"/>
                <w:szCs w:val="24"/>
              </w:rPr>
            </w:pPr>
            <w:r w:rsidRPr="00862505">
              <w:rPr>
                <w:sz w:val="24"/>
                <w:szCs w:val="24"/>
              </w:rPr>
              <w:t>There are no ICT / Technology implications arising from this report</w:t>
            </w:r>
          </w:p>
        </w:tc>
      </w:tr>
    </w:tbl>
    <w:p w14:paraId="344270B3" w14:textId="77777777" w:rsidR="002F5C5E" w:rsidRPr="00862505" w:rsidRDefault="002F5C5E" w:rsidP="002F5C5E">
      <w:pPr>
        <w:rPr>
          <w:i/>
          <w:color w:val="2E74B5"/>
          <w:sz w:val="24"/>
          <w:szCs w:val="24"/>
        </w:rPr>
      </w:pPr>
    </w:p>
    <w:p w14:paraId="344270B4" w14:textId="77777777" w:rsidR="002F5C5E" w:rsidRPr="00862505" w:rsidRDefault="002F5C5E" w:rsidP="002F5C5E">
      <w:pPr>
        <w:rPr>
          <w:sz w:val="24"/>
          <w:szCs w:val="24"/>
        </w:rPr>
      </w:pPr>
      <w:r w:rsidRPr="00862505">
        <w:rPr>
          <w:i/>
          <w:color w:val="2E74B5"/>
          <w:sz w:val="24"/>
          <w:szCs w:val="24"/>
        </w:rPr>
        <w:t xml:space="preserve"> </w:t>
      </w:r>
      <w:r w:rsidRPr="00862505">
        <w:rPr>
          <w:sz w:val="24"/>
          <w:szCs w:val="24"/>
        </w:rPr>
        <w:tab/>
      </w:r>
    </w:p>
    <w:p w14:paraId="344270B5" w14:textId="77777777" w:rsidR="002F5C5E" w:rsidRPr="00862505" w:rsidRDefault="00C969F5" w:rsidP="002F5C5E">
      <w:pPr>
        <w:rPr>
          <w:sz w:val="24"/>
          <w:szCs w:val="24"/>
        </w:rPr>
      </w:pPr>
      <w:r>
        <w:rPr>
          <w:b/>
          <w:sz w:val="24"/>
          <w:szCs w:val="24"/>
        </w:rPr>
        <w:t>5</w:t>
      </w:r>
      <w:r w:rsidR="002F5C5E" w:rsidRPr="00862505">
        <w:rPr>
          <w:b/>
          <w:sz w:val="24"/>
          <w:szCs w:val="24"/>
        </w:rPr>
        <w:t xml:space="preserve">.  BACKGROUND DOCUMENTS </w:t>
      </w:r>
    </w:p>
    <w:p w14:paraId="344270B6" w14:textId="77777777" w:rsidR="001C5E49" w:rsidRPr="00862505" w:rsidRDefault="00CB632F" w:rsidP="001C5E49">
      <w:pPr>
        <w:tabs>
          <w:tab w:val="left" w:pos="2839"/>
        </w:tabs>
        <w:ind w:left="426" w:hanging="426"/>
        <w:rPr>
          <w:rFonts w:cs="Arial"/>
          <w:color w:val="0070C0"/>
          <w:sz w:val="24"/>
          <w:szCs w:val="24"/>
        </w:rPr>
      </w:pPr>
      <w:r w:rsidRPr="00862505">
        <w:rPr>
          <w:rFonts w:cs="Arial"/>
          <w:color w:val="0070C0"/>
          <w:sz w:val="24"/>
          <w:szCs w:val="24"/>
        </w:rPr>
        <w:t xml:space="preserve">  </w:t>
      </w:r>
      <w:r w:rsidRPr="00862505">
        <w:rPr>
          <w:rFonts w:cs="Arial"/>
          <w:color w:val="0070C0"/>
          <w:sz w:val="24"/>
          <w:szCs w:val="24"/>
        </w:rPr>
        <w:tab/>
      </w:r>
    </w:p>
    <w:p w14:paraId="344270B7" w14:textId="77777777" w:rsidR="00CB632F" w:rsidRPr="00862505" w:rsidRDefault="00CB632F" w:rsidP="001C5E49">
      <w:pPr>
        <w:tabs>
          <w:tab w:val="left" w:pos="2839"/>
        </w:tabs>
        <w:ind w:left="426" w:hanging="426"/>
        <w:rPr>
          <w:rFonts w:cs="Arial"/>
          <w:sz w:val="24"/>
          <w:szCs w:val="24"/>
        </w:rPr>
      </w:pPr>
      <w:r w:rsidRPr="00862505">
        <w:rPr>
          <w:rFonts w:cs="Arial"/>
          <w:sz w:val="24"/>
          <w:szCs w:val="24"/>
        </w:rPr>
        <w:t xml:space="preserve">There are no background papers to this report. </w:t>
      </w:r>
    </w:p>
    <w:p w14:paraId="344270B8" w14:textId="77777777" w:rsidR="00CB632F" w:rsidRPr="00862505" w:rsidRDefault="00CB632F" w:rsidP="001C5E49">
      <w:pPr>
        <w:tabs>
          <w:tab w:val="left" w:pos="2839"/>
        </w:tabs>
        <w:ind w:left="426" w:hanging="426"/>
        <w:rPr>
          <w:rFonts w:cs="Arial"/>
          <w:sz w:val="24"/>
          <w:szCs w:val="24"/>
        </w:rPr>
      </w:pPr>
    </w:p>
    <w:p w14:paraId="344270B9" w14:textId="77777777" w:rsidR="00CB632F" w:rsidRPr="00862505" w:rsidRDefault="00CB632F" w:rsidP="001C5E49">
      <w:pPr>
        <w:tabs>
          <w:tab w:val="left" w:pos="2839"/>
        </w:tabs>
        <w:ind w:left="426" w:hanging="426"/>
        <w:rPr>
          <w:rFonts w:cs="Arial"/>
          <w:sz w:val="24"/>
          <w:szCs w:val="24"/>
        </w:rPr>
      </w:pPr>
    </w:p>
    <w:p w14:paraId="344270BA" w14:textId="77777777" w:rsidR="001C5E49" w:rsidRPr="00862505" w:rsidRDefault="00862505" w:rsidP="001C5E49">
      <w:pPr>
        <w:tabs>
          <w:tab w:val="left" w:pos="2839"/>
        </w:tabs>
        <w:rPr>
          <w:rFonts w:cs="Arial"/>
          <w:sz w:val="24"/>
          <w:szCs w:val="24"/>
        </w:rPr>
      </w:pPr>
      <w:r w:rsidRPr="00862505">
        <w:rPr>
          <w:rFonts w:cs="Arial"/>
          <w:sz w:val="24"/>
          <w:szCs w:val="24"/>
        </w:rPr>
        <w:t xml:space="preserve">Caroline Elwood </w:t>
      </w:r>
    </w:p>
    <w:p w14:paraId="344270BB" w14:textId="77777777" w:rsidR="00862505" w:rsidRPr="00862505" w:rsidRDefault="00862505" w:rsidP="001C5E49">
      <w:pPr>
        <w:tabs>
          <w:tab w:val="left" w:pos="2839"/>
        </w:tabs>
        <w:rPr>
          <w:rFonts w:cs="Arial"/>
          <w:sz w:val="24"/>
          <w:szCs w:val="24"/>
        </w:rPr>
      </w:pPr>
      <w:r w:rsidRPr="00862505">
        <w:rPr>
          <w:rFonts w:cs="Arial"/>
          <w:sz w:val="24"/>
          <w:szCs w:val="24"/>
        </w:rPr>
        <w:t>Interim Corporate Governance Committee</w:t>
      </w:r>
    </w:p>
    <w:p w14:paraId="344270BC" w14:textId="77777777" w:rsidR="001C5E49" w:rsidRPr="00862505" w:rsidRDefault="001C5E49" w:rsidP="001C5E49">
      <w:pPr>
        <w:tabs>
          <w:tab w:val="left" w:pos="2839"/>
        </w:tabs>
        <w:ind w:left="426" w:hanging="426"/>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6"/>
        <w:gridCol w:w="2355"/>
      </w:tblGrid>
      <w:tr w:rsidR="001C5E49" w:rsidRPr="00862505" w14:paraId="344270C0" w14:textId="77777777" w:rsidTr="00E2196F">
        <w:tc>
          <w:tcPr>
            <w:tcW w:w="5700" w:type="dxa"/>
            <w:shd w:val="clear" w:color="auto" w:fill="auto"/>
          </w:tcPr>
          <w:p w14:paraId="344270BD" w14:textId="77777777" w:rsidR="001C5E49" w:rsidRPr="00862505" w:rsidRDefault="001C5E49" w:rsidP="00E2196F">
            <w:pPr>
              <w:rPr>
                <w:rFonts w:cs="Arial"/>
                <w:sz w:val="24"/>
                <w:szCs w:val="24"/>
              </w:rPr>
            </w:pPr>
            <w:r w:rsidRPr="00862505">
              <w:rPr>
                <w:rFonts w:cs="Arial"/>
                <w:sz w:val="24"/>
                <w:szCs w:val="24"/>
              </w:rPr>
              <w:t>Report Author:</w:t>
            </w:r>
          </w:p>
        </w:tc>
        <w:tc>
          <w:tcPr>
            <w:tcW w:w="1559" w:type="dxa"/>
            <w:shd w:val="clear" w:color="auto" w:fill="auto"/>
          </w:tcPr>
          <w:p w14:paraId="344270BE" w14:textId="77777777" w:rsidR="001C5E49" w:rsidRPr="00862505" w:rsidRDefault="001C5E49" w:rsidP="00E2196F">
            <w:pPr>
              <w:rPr>
                <w:rFonts w:cs="Arial"/>
                <w:sz w:val="24"/>
                <w:szCs w:val="24"/>
              </w:rPr>
            </w:pPr>
            <w:r w:rsidRPr="00862505">
              <w:rPr>
                <w:rFonts w:cs="Arial"/>
                <w:sz w:val="24"/>
                <w:szCs w:val="24"/>
              </w:rPr>
              <w:t>Telephone:</w:t>
            </w:r>
          </w:p>
        </w:tc>
        <w:tc>
          <w:tcPr>
            <w:tcW w:w="2380" w:type="dxa"/>
            <w:shd w:val="clear" w:color="auto" w:fill="auto"/>
          </w:tcPr>
          <w:p w14:paraId="344270BF" w14:textId="77777777" w:rsidR="001C5E49" w:rsidRPr="00862505" w:rsidRDefault="001C5E49" w:rsidP="00E2196F">
            <w:pPr>
              <w:rPr>
                <w:rFonts w:cs="Arial"/>
                <w:sz w:val="24"/>
                <w:szCs w:val="24"/>
              </w:rPr>
            </w:pPr>
            <w:r w:rsidRPr="00862505">
              <w:rPr>
                <w:rFonts w:cs="Arial"/>
                <w:sz w:val="24"/>
                <w:szCs w:val="24"/>
              </w:rPr>
              <w:t>Date:</w:t>
            </w:r>
          </w:p>
        </w:tc>
      </w:tr>
      <w:tr w:rsidR="001C5E49" w14:paraId="344270C6" w14:textId="77777777" w:rsidTr="00E2196F">
        <w:tc>
          <w:tcPr>
            <w:tcW w:w="5700" w:type="dxa"/>
            <w:shd w:val="clear" w:color="auto" w:fill="auto"/>
          </w:tcPr>
          <w:p w14:paraId="344270C1" w14:textId="77777777" w:rsidR="001C5E49" w:rsidRPr="0031059E" w:rsidRDefault="00862505" w:rsidP="00E2196F">
            <w:pPr>
              <w:rPr>
                <w:rFonts w:cs="Arial"/>
              </w:rPr>
            </w:pPr>
            <w:r>
              <w:rPr>
                <w:rFonts w:cs="Arial"/>
              </w:rPr>
              <w:t xml:space="preserve">Steve Pearce </w:t>
            </w:r>
          </w:p>
          <w:p w14:paraId="344270C2" w14:textId="77777777" w:rsidR="001C5E49" w:rsidRPr="0031059E" w:rsidRDefault="001C5E49" w:rsidP="00E2196F">
            <w:pPr>
              <w:ind w:left="-539" w:firstLine="539"/>
              <w:rPr>
                <w:rFonts w:cs="Arial"/>
              </w:rPr>
            </w:pPr>
          </w:p>
        </w:tc>
        <w:tc>
          <w:tcPr>
            <w:tcW w:w="1559" w:type="dxa"/>
            <w:shd w:val="clear" w:color="auto" w:fill="auto"/>
          </w:tcPr>
          <w:p w14:paraId="344270C3" w14:textId="77777777" w:rsidR="001C5E49" w:rsidRDefault="00862505" w:rsidP="00E2196F">
            <w:pPr>
              <w:rPr>
                <w:rFonts w:cs="Arial"/>
              </w:rPr>
            </w:pPr>
            <w:r>
              <w:rPr>
                <w:rFonts w:cs="Arial"/>
              </w:rPr>
              <w:t>01772</w:t>
            </w:r>
          </w:p>
          <w:p w14:paraId="344270C4" w14:textId="77777777" w:rsidR="00862505" w:rsidRPr="0031059E" w:rsidRDefault="00862505" w:rsidP="00E2196F">
            <w:pPr>
              <w:rPr>
                <w:rFonts w:cs="Arial"/>
              </w:rPr>
            </w:pPr>
            <w:r>
              <w:rPr>
                <w:rFonts w:cs="Arial"/>
              </w:rPr>
              <w:t>62530</w:t>
            </w:r>
          </w:p>
        </w:tc>
        <w:tc>
          <w:tcPr>
            <w:tcW w:w="2380" w:type="dxa"/>
            <w:shd w:val="clear" w:color="auto" w:fill="auto"/>
          </w:tcPr>
          <w:p w14:paraId="344270C5" w14:textId="77777777" w:rsidR="001C5E49" w:rsidRPr="0031059E" w:rsidRDefault="00563CE0" w:rsidP="00E2196F">
            <w:pPr>
              <w:rPr>
                <w:rFonts w:cs="Arial"/>
              </w:rPr>
            </w:pPr>
            <w:r>
              <w:rPr>
                <w:rFonts w:cs="Arial"/>
              </w:rPr>
              <w:t>15</w:t>
            </w:r>
            <w:r w:rsidR="00C969F5">
              <w:rPr>
                <w:rFonts w:cs="Arial"/>
              </w:rPr>
              <w:t>/11/17</w:t>
            </w:r>
          </w:p>
        </w:tc>
      </w:tr>
    </w:tbl>
    <w:p w14:paraId="344270C7" w14:textId="77777777" w:rsidR="001C5E49" w:rsidRDefault="001C5E49" w:rsidP="001C5E49">
      <w:pPr>
        <w:rPr>
          <w:rFonts w:cs="Arial"/>
        </w:rPr>
      </w:pPr>
    </w:p>
    <w:p w14:paraId="344270C8" w14:textId="77777777" w:rsidR="001C5E49" w:rsidRPr="009725FB" w:rsidRDefault="001C5E49" w:rsidP="001C5E49">
      <w:pPr>
        <w:tabs>
          <w:tab w:val="left" w:pos="2839"/>
        </w:tabs>
        <w:rPr>
          <w:rFonts w:cs="Arial"/>
        </w:rPr>
      </w:pPr>
    </w:p>
    <w:sectPr w:rsidR="001C5E49" w:rsidRPr="009725FB" w:rsidSect="00E971A2">
      <w:footerReference w:type="default" r:id="rId8"/>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270CD" w14:textId="77777777" w:rsidR="00561DDD" w:rsidRDefault="00561DDD">
      <w:r>
        <w:separator/>
      </w:r>
    </w:p>
  </w:endnote>
  <w:endnote w:type="continuationSeparator" w:id="0">
    <w:p w14:paraId="344270CE" w14:textId="77777777" w:rsidR="00561DDD" w:rsidRDefault="0056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70CF"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1487D">
      <w:rPr>
        <w:noProof/>
        <w:sz w:val="24"/>
      </w:rPr>
      <w:t>3</w:t>
    </w:r>
    <w:r w:rsidRPr="00FD7B65">
      <w:rPr>
        <w:noProof/>
        <w:sz w:val="24"/>
      </w:rPr>
      <w:fldChar w:fldCharType="end"/>
    </w:r>
  </w:p>
  <w:p w14:paraId="344270D0"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270CB" w14:textId="77777777" w:rsidR="00561DDD" w:rsidRDefault="00561DDD">
      <w:r>
        <w:separator/>
      </w:r>
    </w:p>
  </w:footnote>
  <w:footnote w:type="continuationSeparator" w:id="0">
    <w:p w14:paraId="344270CC" w14:textId="77777777" w:rsidR="00561DDD" w:rsidRDefault="00561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8907B4"/>
    <w:multiLevelType w:val="hybridMultilevel"/>
    <w:tmpl w:val="7194C0A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A0F91"/>
    <w:multiLevelType w:val="hybridMultilevel"/>
    <w:tmpl w:val="264A5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6"/>
  </w:num>
  <w:num w:numId="5">
    <w:abstractNumId w:val="8"/>
  </w:num>
  <w:num w:numId="6">
    <w:abstractNumId w:val="5"/>
  </w:num>
  <w:num w:numId="7">
    <w:abstractNumId w:val="3"/>
  </w:num>
  <w:num w:numId="8">
    <w:abstractNumId w:val="4"/>
  </w:num>
  <w:num w:numId="9">
    <w:abstractNumId w:val="0"/>
  </w:num>
  <w:num w:numId="10">
    <w:abstractNumId w:val="1"/>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7387D"/>
    <w:rsid w:val="000E10FE"/>
    <w:rsid w:val="000F2C8A"/>
    <w:rsid w:val="001544DD"/>
    <w:rsid w:val="00184E1D"/>
    <w:rsid w:val="001C5E49"/>
    <w:rsid w:val="002221BD"/>
    <w:rsid w:val="0025591B"/>
    <w:rsid w:val="002820A5"/>
    <w:rsid w:val="002E4FF4"/>
    <w:rsid w:val="002F5C5E"/>
    <w:rsid w:val="00342AB1"/>
    <w:rsid w:val="00345C71"/>
    <w:rsid w:val="00357C5E"/>
    <w:rsid w:val="00386AAD"/>
    <w:rsid w:val="003902A2"/>
    <w:rsid w:val="00392E3D"/>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5041BB"/>
    <w:rsid w:val="00533525"/>
    <w:rsid w:val="00547120"/>
    <w:rsid w:val="00547481"/>
    <w:rsid w:val="00561DDD"/>
    <w:rsid w:val="00563CE0"/>
    <w:rsid w:val="00576A82"/>
    <w:rsid w:val="00587DAB"/>
    <w:rsid w:val="0059631A"/>
    <w:rsid w:val="005A26AD"/>
    <w:rsid w:val="005B0C36"/>
    <w:rsid w:val="005D4F59"/>
    <w:rsid w:val="0060374B"/>
    <w:rsid w:val="00630F86"/>
    <w:rsid w:val="00633396"/>
    <w:rsid w:val="00645A0B"/>
    <w:rsid w:val="006555E6"/>
    <w:rsid w:val="00663069"/>
    <w:rsid w:val="006879CA"/>
    <w:rsid w:val="006B645E"/>
    <w:rsid w:val="006B7116"/>
    <w:rsid w:val="006C04C1"/>
    <w:rsid w:val="006C209A"/>
    <w:rsid w:val="006E09FB"/>
    <w:rsid w:val="006F2214"/>
    <w:rsid w:val="006F3A2D"/>
    <w:rsid w:val="006F76A3"/>
    <w:rsid w:val="00707E99"/>
    <w:rsid w:val="00712E3F"/>
    <w:rsid w:val="0071487D"/>
    <w:rsid w:val="0072427D"/>
    <w:rsid w:val="00862505"/>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93B31"/>
    <w:rsid w:val="009A48CF"/>
    <w:rsid w:val="009A714A"/>
    <w:rsid w:val="009C1143"/>
    <w:rsid w:val="009E48E0"/>
    <w:rsid w:val="00A1406A"/>
    <w:rsid w:val="00A22D02"/>
    <w:rsid w:val="00A30426"/>
    <w:rsid w:val="00A4702E"/>
    <w:rsid w:val="00A50754"/>
    <w:rsid w:val="00A600F0"/>
    <w:rsid w:val="00A76482"/>
    <w:rsid w:val="00AC4A99"/>
    <w:rsid w:val="00B05FE8"/>
    <w:rsid w:val="00B1788B"/>
    <w:rsid w:val="00B443DD"/>
    <w:rsid w:val="00B51DB8"/>
    <w:rsid w:val="00B62D79"/>
    <w:rsid w:val="00B70B91"/>
    <w:rsid w:val="00B716F5"/>
    <w:rsid w:val="00B72A06"/>
    <w:rsid w:val="00B766C4"/>
    <w:rsid w:val="00BA2606"/>
    <w:rsid w:val="00BC6635"/>
    <w:rsid w:val="00C022F9"/>
    <w:rsid w:val="00C209E3"/>
    <w:rsid w:val="00C30128"/>
    <w:rsid w:val="00C52450"/>
    <w:rsid w:val="00C64ED1"/>
    <w:rsid w:val="00C66BAA"/>
    <w:rsid w:val="00C969F5"/>
    <w:rsid w:val="00CB32DF"/>
    <w:rsid w:val="00CB632F"/>
    <w:rsid w:val="00CC3246"/>
    <w:rsid w:val="00CE3DA1"/>
    <w:rsid w:val="00CE4482"/>
    <w:rsid w:val="00CF6B60"/>
    <w:rsid w:val="00D03328"/>
    <w:rsid w:val="00D36638"/>
    <w:rsid w:val="00D37BAE"/>
    <w:rsid w:val="00D772AB"/>
    <w:rsid w:val="00D90A00"/>
    <w:rsid w:val="00D91845"/>
    <w:rsid w:val="00D9371C"/>
    <w:rsid w:val="00DB3FD0"/>
    <w:rsid w:val="00DE5E12"/>
    <w:rsid w:val="00E2196F"/>
    <w:rsid w:val="00E2276E"/>
    <w:rsid w:val="00E2779B"/>
    <w:rsid w:val="00E41950"/>
    <w:rsid w:val="00E569CB"/>
    <w:rsid w:val="00E577A2"/>
    <w:rsid w:val="00E60A53"/>
    <w:rsid w:val="00E61C3E"/>
    <w:rsid w:val="00E733A5"/>
    <w:rsid w:val="00E753EC"/>
    <w:rsid w:val="00E84459"/>
    <w:rsid w:val="00E971A2"/>
    <w:rsid w:val="00EB2D32"/>
    <w:rsid w:val="00EB7C94"/>
    <w:rsid w:val="00ED257A"/>
    <w:rsid w:val="00F3057A"/>
    <w:rsid w:val="00F30E9C"/>
    <w:rsid w:val="00F55E4D"/>
    <w:rsid w:val="00F61752"/>
    <w:rsid w:val="00F67F95"/>
    <w:rsid w:val="00FC660F"/>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2704B"/>
  <w15:chartTrackingRefBased/>
  <w15:docId w15:val="{544B1823-17A6-4E73-9C1A-DD35A960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587D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3</cp:revision>
  <cp:lastPrinted>2017-09-07T14:55:00Z</cp:lastPrinted>
  <dcterms:created xsi:type="dcterms:W3CDTF">2017-11-21T13:24:00Z</dcterms:created>
  <dcterms:modified xsi:type="dcterms:W3CDTF">2017-11-21T13:27:00Z</dcterms:modified>
</cp:coreProperties>
</file>